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F4D0D" w14:textId="25009C38" w:rsidR="00510CCB" w:rsidRPr="00F448A9" w:rsidRDefault="00F448A9" w:rsidP="00F448A9">
      <w:pPr>
        <w:rPr>
          <w:sz w:val="30"/>
          <w:szCs w:val="30"/>
        </w:rPr>
      </w:pPr>
      <w:r w:rsidRPr="00F448A9">
        <w:rPr>
          <w:b/>
          <w:bCs/>
          <w:color w:val="C00000"/>
          <w:sz w:val="30"/>
          <w:szCs w:val="30"/>
        </w:rPr>
        <w:t>What's new in endocrinology and diabetes mellitus</w:t>
      </w:r>
      <w:r w:rsidRPr="00F448A9">
        <w:rPr>
          <w:b/>
          <w:bCs/>
          <w:color w:val="C00000"/>
          <w:sz w:val="30"/>
          <w:szCs w:val="30"/>
        </w:rPr>
        <w:t xml:space="preserve">  </w:t>
      </w:r>
      <w:r w:rsidRPr="00F448A9">
        <w:rPr>
          <w:b/>
          <w:bCs/>
          <w:sz w:val="30"/>
          <w:szCs w:val="30"/>
        </w:rPr>
        <w:t xml:space="preserve"> </w:t>
      </w:r>
      <w:r w:rsidRPr="00F448A9">
        <w:rPr>
          <w:b/>
          <w:bCs/>
          <w:color w:val="00B050"/>
          <w:sz w:val="30"/>
          <w:szCs w:val="30"/>
        </w:rPr>
        <w:t>March 2025</w:t>
      </w:r>
    </w:p>
    <w:p w14:paraId="1CD3E209" w14:textId="77777777" w:rsidR="00F448A9" w:rsidRPr="00F448A9" w:rsidRDefault="00F448A9" w:rsidP="00F448A9">
      <w:r w:rsidRPr="00F448A9">
        <w:rPr>
          <w:b/>
          <w:bCs/>
        </w:rPr>
        <w:t>ADRENAL DISORDERS</w:t>
      </w:r>
    </w:p>
    <w:p w14:paraId="079322B4" w14:textId="77777777" w:rsidR="00F448A9" w:rsidRPr="00F448A9" w:rsidRDefault="00F448A9" w:rsidP="00F448A9">
      <w:r w:rsidRPr="00F448A9">
        <w:rPr>
          <w:b/>
          <w:bCs/>
        </w:rPr>
        <w:t>Pheochromocytoma and paraganglioma in von Hippel-Lindau syndrome (March 2025)</w:t>
      </w:r>
    </w:p>
    <w:p w14:paraId="32A7060B" w14:textId="77777777" w:rsidR="00F448A9" w:rsidRPr="00F448A9" w:rsidRDefault="00F448A9" w:rsidP="00F448A9">
      <w:r w:rsidRPr="00F448A9">
        <w:t>Pheochromocytomas and paragangliomas (PPGLs) are rare, catecholamine-secreting tumors that can be associated with genetic disorders including von Hippel-Lindau (VHL) syndrome. In a study that compared the clinical and biochemical features of PPGLs in 59 patients with VHL (mean age 25 years) and 145 patients with sporadic disease (mean age 44 years), the prevalence of hypertension and tumor-related symptoms was high (≥75 percent) in both groups [</w:t>
      </w:r>
      <w:hyperlink r:id="rId4" w:history="1">
        <w:r w:rsidRPr="00F448A9">
          <w:rPr>
            <w:rStyle w:val="Hyperlink"/>
          </w:rPr>
          <w:t>1</w:t>
        </w:r>
      </w:hyperlink>
      <w:r w:rsidRPr="00F448A9">
        <w:t>]. Patients with VHL exhibited higher rates of postoperative recurrence (45 versus 15 percent with sporadic disease), multiple lesions, and predominant norepinephrine secretion. These findings indicate that the natural history of sporadic and VHL-associated PPGLs may differ, and patients with VHL merit close monitoring even after apparent surgical cure of PPGL. (See </w:t>
      </w:r>
      <w:hyperlink r:id="rId5" w:anchor="H4" w:history="1">
        <w:r w:rsidRPr="00F448A9">
          <w:rPr>
            <w:rStyle w:val="Hyperlink"/>
          </w:rPr>
          <w:t>"Pheochromocytoma and paraganglioma in genetic disorders", section on 'Phenotype of MEN2 versus VHL syndrome'</w:t>
        </w:r>
      </w:hyperlink>
      <w:r w:rsidRPr="00F448A9">
        <w:t> and </w:t>
      </w:r>
      <w:hyperlink r:id="rId6" w:anchor="H15" w:history="1">
        <w:r w:rsidRPr="00F448A9">
          <w:rPr>
            <w:rStyle w:val="Hyperlink"/>
          </w:rPr>
          <w:t>"Treatment of pheochromocytoma in adults", section on 'Prognosis and monitoring'</w:t>
        </w:r>
      </w:hyperlink>
      <w:r w:rsidRPr="00F448A9">
        <w:t>.)</w:t>
      </w:r>
    </w:p>
    <w:p w14:paraId="4C9FA5BE" w14:textId="77777777" w:rsidR="00F448A9" w:rsidRPr="00F448A9" w:rsidRDefault="00F448A9" w:rsidP="00F448A9">
      <w:r w:rsidRPr="00F448A9">
        <w:rPr>
          <w:b/>
          <w:bCs/>
        </w:rPr>
        <w:t>DIABETES MELLITUS</w:t>
      </w:r>
    </w:p>
    <w:p w14:paraId="23A64A62" w14:textId="77777777" w:rsidR="00F448A9" w:rsidRPr="00F448A9" w:rsidRDefault="00F448A9" w:rsidP="00F448A9">
      <w:r w:rsidRPr="00F448A9">
        <w:rPr>
          <w:b/>
          <w:bCs/>
        </w:rPr>
        <w:t>Automated insulin delivery in adults with type 2 diabetes (March 2025)</w:t>
      </w:r>
    </w:p>
    <w:p w14:paraId="3D805BB5" w14:textId="77777777" w:rsidR="00F448A9" w:rsidRPr="00F448A9" w:rsidRDefault="00F448A9" w:rsidP="00F448A9">
      <w:r w:rsidRPr="00F448A9">
        <w:t>Automated insulin delivery (AID) systems are often used to treat type 1 diabetes, but few studies have evaluated their use in type 2 diabetes. In a 13-week trial, 319 adults with type 2 diabetes (mean age 58 years, mean A1C 8.2 percent) were randomly assigned to treatment with AID (n = 215) or their usual insulin delivery strategy (predominantly multiple daily injections [MDI]; n = 104) [</w:t>
      </w:r>
      <w:hyperlink r:id="rId7" w:history="1">
        <w:r w:rsidRPr="00F448A9">
          <w:rPr>
            <w:rStyle w:val="Hyperlink"/>
          </w:rPr>
          <w:t>2</w:t>
        </w:r>
      </w:hyperlink>
      <w:r w:rsidRPr="00F448A9">
        <w:t>]. AID use led to a greater reduction in mean A1C (-0.9 versus -0.3 percentage points with usual care) and a greater increase in time spent in the target glucose range (70 to 180 mg/dL [3.9 to 10 mmol/L]). The rate of hypoglycemia was low in both groups. These findings support the utility of AID in adults with type 2 diabetes who are not meeting glycemic goals with MDI insulin regimens. (See </w:t>
      </w:r>
      <w:hyperlink r:id="rId8" w:anchor="H36246868" w:history="1">
        <w:r w:rsidRPr="00F448A9">
          <w:rPr>
            <w:rStyle w:val="Hyperlink"/>
          </w:rPr>
          <w:t>"Continuous subcutaneous insulin infusion (insulin pump)", section on 'Patient selection'</w:t>
        </w:r>
      </w:hyperlink>
      <w:r w:rsidRPr="00F448A9">
        <w:t>.)</w:t>
      </w:r>
    </w:p>
    <w:p w14:paraId="6E74BEF3" w14:textId="77777777" w:rsidR="00F448A9" w:rsidRPr="00F448A9" w:rsidRDefault="00F448A9" w:rsidP="00F448A9">
      <w:r w:rsidRPr="00F448A9">
        <w:rPr>
          <w:b/>
          <w:bCs/>
        </w:rPr>
        <w:t>OTHER ENDOCRINOLOGY</w:t>
      </w:r>
    </w:p>
    <w:p w14:paraId="0FCE6A30" w14:textId="77777777" w:rsidR="00F448A9" w:rsidRPr="00F448A9" w:rsidRDefault="00F448A9" w:rsidP="00F448A9">
      <w:r w:rsidRPr="00F448A9">
        <w:rPr>
          <w:b/>
          <w:bCs/>
        </w:rPr>
        <w:t>Albumin-adjusted calcium formulas do not always correlate with ionized calcium (March 2025)</w:t>
      </w:r>
    </w:p>
    <w:p w14:paraId="7CCC7B4A" w14:textId="77777777" w:rsidR="00F448A9" w:rsidRPr="00F448A9" w:rsidRDefault="00F448A9" w:rsidP="00F448A9">
      <w:r w:rsidRPr="00F448A9">
        <w:t xml:space="preserve">Albumin-adjusted calcium formulas are often used when albumin is abnormal, but none appears to be universally acceptable when examined for its correlation with ionized calcium. In a new cross-sectional study that included 17,546 patients who had simultaneous testing of </w:t>
      </w:r>
      <w:r w:rsidRPr="00F448A9">
        <w:lastRenderedPageBreak/>
        <w:t xml:space="preserve">albumin, total calcium, and ionized calcium, very few (≤0.3 percent) patients with an albumin &lt;3 g/dL and hypercalcemia by ionized calcium were misclassified as </w:t>
      </w:r>
      <w:proofErr w:type="spellStart"/>
      <w:r w:rsidRPr="00F448A9">
        <w:t>normocalcemic</w:t>
      </w:r>
      <w:proofErr w:type="spellEnd"/>
      <w:r w:rsidRPr="00F448A9">
        <w:t xml:space="preserve"> by a commonly used calcium correction formula [</w:t>
      </w:r>
      <w:hyperlink r:id="rId9" w:history="1">
        <w:r w:rsidRPr="00F448A9">
          <w:rPr>
            <w:rStyle w:val="Hyperlink"/>
          </w:rPr>
          <w:t>16</w:t>
        </w:r>
      </w:hyperlink>
      <w:r w:rsidRPr="00F448A9">
        <w:t xml:space="preserve">]. However, 6.8 percent of patients classified as </w:t>
      </w:r>
      <w:proofErr w:type="spellStart"/>
      <w:r w:rsidRPr="00F448A9">
        <w:t>normocalcemic</w:t>
      </w:r>
      <w:proofErr w:type="spellEnd"/>
      <w:r w:rsidRPr="00F448A9">
        <w:t xml:space="preserve"> by ionized calcium were misclassified as hypercalcemic using the correction formula, and 44 percent of patients with hypocalcemia by ionized calcium were misclassified as </w:t>
      </w:r>
      <w:proofErr w:type="spellStart"/>
      <w:r w:rsidRPr="00F448A9">
        <w:t>normocalcemic</w:t>
      </w:r>
      <w:proofErr w:type="spellEnd"/>
      <w:r w:rsidRPr="00F448A9">
        <w:t>. If a laboratory known to measure ionized calcium reliably is not available, the total calcium may be corrected for any abnormalities in albumin, but the accuracy of the estimate may be poor in a variety of populations. (See </w:t>
      </w:r>
      <w:hyperlink r:id="rId10" w:anchor="H2" w:history="1">
        <w:r w:rsidRPr="00F448A9">
          <w:rPr>
            <w:rStyle w:val="Hyperlink"/>
          </w:rPr>
          <w:t>"Diagnostic approach to hypercalcemia", section on 'Verify elevated calcium'</w:t>
        </w:r>
      </w:hyperlink>
      <w:r w:rsidRPr="00F448A9">
        <w:t> and </w:t>
      </w:r>
      <w:hyperlink r:id="rId11" w:history="1">
        <w:r w:rsidRPr="00F448A9">
          <w:rPr>
            <w:rStyle w:val="Hyperlink"/>
          </w:rPr>
          <w:t>"Relation between total and ionized serum calcium concentrations"</w:t>
        </w:r>
      </w:hyperlink>
      <w:r w:rsidRPr="00F448A9">
        <w:t>.)</w:t>
      </w:r>
    </w:p>
    <w:p w14:paraId="30583AA4" w14:textId="77777777" w:rsidR="00F448A9" w:rsidRDefault="00F448A9"/>
    <w:sectPr w:rsidR="00F448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8A9"/>
    <w:rsid w:val="000B1565"/>
    <w:rsid w:val="00313F44"/>
    <w:rsid w:val="004B5628"/>
    <w:rsid w:val="00510CCB"/>
    <w:rsid w:val="008D0060"/>
    <w:rsid w:val="00E577A7"/>
    <w:rsid w:val="00F448A9"/>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5378C"/>
  <w15:chartTrackingRefBased/>
  <w15:docId w15:val="{B86BD9D1-D2D1-4BE2-A866-5D62AEB1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48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48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48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48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48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48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48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48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48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48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48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48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48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48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48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48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48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48A9"/>
    <w:rPr>
      <w:rFonts w:eastAsiaTheme="majorEastAsia" w:cstheme="majorBidi"/>
      <w:color w:val="272727" w:themeColor="text1" w:themeTint="D8"/>
    </w:rPr>
  </w:style>
  <w:style w:type="paragraph" w:styleId="Title">
    <w:name w:val="Title"/>
    <w:basedOn w:val="Normal"/>
    <w:next w:val="Normal"/>
    <w:link w:val="TitleChar"/>
    <w:uiPriority w:val="10"/>
    <w:qFormat/>
    <w:rsid w:val="00F44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4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48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48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48A9"/>
    <w:pPr>
      <w:spacing w:before="160"/>
      <w:jc w:val="center"/>
    </w:pPr>
    <w:rPr>
      <w:i/>
      <w:iCs/>
      <w:color w:val="404040" w:themeColor="text1" w:themeTint="BF"/>
    </w:rPr>
  </w:style>
  <w:style w:type="character" w:customStyle="1" w:styleId="QuoteChar">
    <w:name w:val="Quote Char"/>
    <w:basedOn w:val="DefaultParagraphFont"/>
    <w:link w:val="Quote"/>
    <w:uiPriority w:val="29"/>
    <w:rsid w:val="00F448A9"/>
    <w:rPr>
      <w:i/>
      <w:iCs/>
      <w:color w:val="404040" w:themeColor="text1" w:themeTint="BF"/>
    </w:rPr>
  </w:style>
  <w:style w:type="paragraph" w:styleId="ListParagraph">
    <w:name w:val="List Paragraph"/>
    <w:basedOn w:val="Normal"/>
    <w:uiPriority w:val="34"/>
    <w:qFormat/>
    <w:rsid w:val="00F448A9"/>
    <w:pPr>
      <w:ind w:left="720"/>
      <w:contextualSpacing/>
    </w:pPr>
  </w:style>
  <w:style w:type="character" w:styleId="IntenseEmphasis">
    <w:name w:val="Intense Emphasis"/>
    <w:basedOn w:val="DefaultParagraphFont"/>
    <w:uiPriority w:val="21"/>
    <w:qFormat/>
    <w:rsid w:val="00F448A9"/>
    <w:rPr>
      <w:i/>
      <w:iCs/>
      <w:color w:val="2F5496" w:themeColor="accent1" w:themeShade="BF"/>
    </w:rPr>
  </w:style>
  <w:style w:type="paragraph" w:styleId="IntenseQuote">
    <w:name w:val="Intense Quote"/>
    <w:basedOn w:val="Normal"/>
    <w:next w:val="Normal"/>
    <w:link w:val="IntenseQuoteChar"/>
    <w:uiPriority w:val="30"/>
    <w:qFormat/>
    <w:rsid w:val="00F448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48A9"/>
    <w:rPr>
      <w:i/>
      <w:iCs/>
      <w:color w:val="2F5496" w:themeColor="accent1" w:themeShade="BF"/>
    </w:rPr>
  </w:style>
  <w:style w:type="character" w:styleId="IntenseReference">
    <w:name w:val="Intense Reference"/>
    <w:basedOn w:val="DefaultParagraphFont"/>
    <w:uiPriority w:val="32"/>
    <w:qFormat/>
    <w:rsid w:val="00F448A9"/>
    <w:rPr>
      <w:b/>
      <w:bCs/>
      <w:smallCaps/>
      <w:color w:val="2F5496" w:themeColor="accent1" w:themeShade="BF"/>
      <w:spacing w:val="5"/>
    </w:rPr>
  </w:style>
  <w:style w:type="character" w:styleId="Hyperlink">
    <w:name w:val="Hyperlink"/>
    <w:basedOn w:val="DefaultParagraphFont"/>
    <w:uiPriority w:val="99"/>
    <w:unhideWhenUsed/>
    <w:rsid w:val="00F448A9"/>
    <w:rPr>
      <w:color w:val="0563C1" w:themeColor="hyperlink"/>
      <w:u w:val="single"/>
    </w:rPr>
  </w:style>
  <w:style w:type="character" w:styleId="UnresolvedMention">
    <w:name w:val="Unresolved Mention"/>
    <w:basedOn w:val="DefaultParagraphFont"/>
    <w:uiPriority w:val="99"/>
    <w:semiHidden/>
    <w:unhideWhenUsed/>
    <w:rsid w:val="00F448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643428">
      <w:bodyDiv w:val="1"/>
      <w:marLeft w:val="0"/>
      <w:marRight w:val="0"/>
      <w:marTop w:val="0"/>
      <w:marBottom w:val="0"/>
      <w:divBdr>
        <w:top w:val="none" w:sz="0" w:space="0" w:color="auto"/>
        <w:left w:val="none" w:sz="0" w:space="0" w:color="auto"/>
        <w:bottom w:val="none" w:sz="0" w:space="0" w:color="auto"/>
        <w:right w:val="none" w:sz="0" w:space="0" w:color="auto"/>
      </w:divBdr>
    </w:div>
    <w:div w:id="330645295">
      <w:bodyDiv w:val="1"/>
      <w:marLeft w:val="0"/>
      <w:marRight w:val="0"/>
      <w:marTop w:val="0"/>
      <w:marBottom w:val="0"/>
      <w:divBdr>
        <w:top w:val="none" w:sz="0" w:space="0" w:color="auto"/>
        <w:left w:val="none" w:sz="0" w:space="0" w:color="auto"/>
        <w:bottom w:val="none" w:sz="0" w:space="0" w:color="auto"/>
        <w:right w:val="none" w:sz="0" w:space="0" w:color="auto"/>
      </w:divBdr>
    </w:div>
    <w:div w:id="989671747">
      <w:bodyDiv w:val="1"/>
      <w:marLeft w:val="0"/>
      <w:marRight w:val="0"/>
      <w:marTop w:val="0"/>
      <w:marBottom w:val="0"/>
      <w:divBdr>
        <w:top w:val="none" w:sz="0" w:space="0" w:color="auto"/>
        <w:left w:val="none" w:sz="0" w:space="0" w:color="auto"/>
        <w:bottom w:val="none" w:sz="0" w:space="0" w:color="auto"/>
        <w:right w:val="none" w:sz="0" w:space="0" w:color="auto"/>
      </w:divBdr>
    </w:div>
    <w:div w:id="110480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continuous-subcutaneous-insulin-infusion-insulin-pump?sectionName=Patient%20selection&amp;topicRef=8354&amp;anchor=H36246868&amp;source=see_link"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4.utdos.ir/contents/whats-new-in-endocrinology-and-diabetes-mellitus/abstract/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4.utdos.ir/contents/treatment-of-pheochromocytoma-in-adults?sectionName=PROGNOSIS%20AND%20MONITORING&amp;topicRef=8354&amp;anchor=H15&amp;source=see_link" TargetMode="External"/><Relationship Id="rId11" Type="http://schemas.openxmlformats.org/officeDocument/2006/relationships/hyperlink" Target="https://www4.utdos.ir/contents/relation-between-total-and-ionized-serum-calcium-concentrations?topicRef=8354&amp;source=see_link" TargetMode="External"/><Relationship Id="rId5" Type="http://schemas.openxmlformats.org/officeDocument/2006/relationships/hyperlink" Target="https://www4.utdos.ir/contents/pheochromocytoma-and-paraganglioma-in-genetic-disorders?sectionName=Phenotype%20of%20MEN2%20versus%20VHL%20syndrome&amp;topicRef=8354&amp;anchor=H4&amp;source=see_link" TargetMode="External"/><Relationship Id="rId10" Type="http://schemas.openxmlformats.org/officeDocument/2006/relationships/hyperlink" Target="https://www4.utdos.ir/contents/diagnostic-approach-to-hypercalcemia?sectionName=VERIFY%20ELEVATED%20CALCIUM&amp;topicRef=8354&amp;anchor=H2&amp;source=see_link" TargetMode="External"/><Relationship Id="rId4" Type="http://schemas.openxmlformats.org/officeDocument/2006/relationships/hyperlink" Target="https://www4.utdos.ir/contents/whats-new-in-endocrinology-and-diabetes-mellitus/abstract/1" TargetMode="External"/><Relationship Id="rId9" Type="http://schemas.openxmlformats.org/officeDocument/2006/relationships/hyperlink" Target="https://www4.utdos.ir/contents/whats-new-in-endocrinology-and-diabetes-mellitus/abstract/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684</Words>
  <Characters>3900</Characters>
  <Application>Microsoft Office Word</Application>
  <DocSecurity>0</DocSecurity>
  <Lines>32</Lines>
  <Paragraphs>9</Paragraphs>
  <ScaleCrop>false</ScaleCrop>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2025-03-30T06:22:00Z</dcterms:created>
  <dcterms:modified xsi:type="dcterms:W3CDTF">2025-03-30T06:24:00Z</dcterms:modified>
</cp:coreProperties>
</file>